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118</w:t>
      </w:r>
    </w:p>
    <w:p>
      <w:r>
        <w:t>Bundesgericht (BGE), 1995-04-26, DE</w:t>
      </w:r>
    </w:p>
    <w:p>
      <w:r>
        <w:rPr>
          <w:b/>
        </w:rPr>
        <w:t xml:space="preserve">Quelle: </w:t>
      </w:r>
      <w:r>
        <w:t>https://mcp.opencaselaw.ch/entscheid/bge_121 III 118</w:t>
      </w:r>
    </w:p>
    <w:p>
      <w:r>
        <w:t>FR: ATF 121 III 118</w:t>
      </w:r>
    </w:p>
    <w:p>
      <w:r>
        <w:t>IT: DTF 121 III 118</w:t>
      </w:r>
    </w:p>
    <w:p>
      <w:pPr>
        <w:pStyle w:val="Heading2"/>
      </w:pPr>
      <w:r>
        <w:t>Regeste</w:t>
      </w:r>
    </w:p>
    <w:p>
      <w:r>
        <w:t>Regeste Aktivlegitimation des Mitglieds einer Erbengemeinschaft zur prozessualen Durchsetzung ererbter Urheberrechte (Art. 7, 16 URG; Art. 8, 602 Abs. 2 ZGB; Art. 18 OR; Art. 64 Abs. 1 OG). Die Gesetzesvorschriften, welche die Miturheberschaft regeln, kommen nicht zur Anwendung. Ein einzelnes Mitglied der Erbengemeinschaft ist deshalb nicht befugt, gestützt auf Art. 7 Abs. 3 URG in eigenem Namen eine Urheberrechtsverletzung einzuklagen (E. 2). Die Aktivlegitimation kann im vorliegenden Fall auch nicht aus den Bestimmungen des ZGB über die Erbengemeinschaft abgeleitet werden (E. 3). Ob sie sich aus einem von den Erben abgeschlossenen Erbteilungsvertrag ergibt, hängt von dessen Auslegung ab (E. 4).</w:t>
      </w:r>
    </w:p>
    <w:p>
      <w:pPr>
        <w:pStyle w:val="Heading2"/>
      </w:pPr>
      <w:r>
        <w:t>Erwägungen</w:t>
      </w:r>
    </w:p>
    <w:p>
      <w:r>
        <w:rPr>
          <w:b/>
        </w:rPr>
        <w:t>E. 2</w:t>
      </w:r>
    </w:p>
    <w:p>
      <w:r>
        <w:t>Steht das Urheberrecht an einem Werk mehreren Personen als Urheber oder Urheberinnen gemeinschaftlich zu, so kann jeder Miturheber und jede Miturheberin Rechtsverletzungen selbständig verfolgen, Leistung jedoch nur an alle fordern ( Art. 7 Abs. 3 URG ; SR 231.1). Das Gesetz gibt damit jedem Miturheber und jeder Miturheberin eine prozessstandschaftliche Vertretungsbefugnis. Das Obergericht lehnt es ab, diese Regelung auf die in Gemeinschaft verbundenen Erben des Urhebers anzuwenden. Die Klägerin erblickt darin eine Verletzung von Bundesrecht. Die Miturheberschaft im Sinne von Art. 7 URG beruht auf dem Gedanken der kollektiven Werkschöpfung, der Mitwirkung mehrerer Personen an einem neugeschöpften, im Gegensatz zum bearbeiteten ( Art. 3 URG ), verbundenen oder durch Kompilation ( Art. 4 URG ) geschaffenen Werk. Die einzelnen Miturheber oder Miturheberinnen stehen in einer Rechtsgemeinschaft, einer Gesamthandschaft sui generis (BARRELET/EGLOFF, Das neue Urheberrecht, N. 2 zu Art. 7 URG ), die durch einen gemeinsamen, originären Rechtserwerb gekennzeichnet ist. Das als solches unteilbare Kollektivwerk (vgl. Art. 7 Abs. 4 URG ) ist durch die schöpferische Leistung mehrerer Personen geprägt, denen das Gesetz je einzeln die Befugnis einräumt, die absolute Rechtsstellung aus der Urheberschaft durchzusetzen. Die verselbständigte Rechtszuständigkeit folgt dabei aus der eigenen schöpferischen Leistung. Das Urheberrecht ist vererblich ( Art. 16 Abs. 1 URG ). Die Erbfolge beurteilt sich hinsichtlich Voraussetzungen und Wirkungen ausschliesslich nach den Bestimmungen des Erbrechts. Unter mehreren Erben entsteht von Gesetzes wegen eine Erbengemeinschaft ( Art. 602 ff. ZGB ). Vereinzelt wird in der Literatur die Auffassung vertreten, diese unterstehe in bezug auf das durch Universalsukzession übergegangene Urheberrecht den Bestimmungen über die Miturheberschaft (REHBINDER, Schweizerisches Urheberrecht, S. 132). Dies entspricht der Regelung des österreichischen BGE 121 III 118 S. 121 Urheberrechtsgesetzes (§ 23 Abs. 4) und einer minoritär in Deutschland vertretenen Meinung (vgl. FROMM/NORDEMANN, Urheberrecht, 8. Aufl., N. 4 zu § 28 DURG). Für das schweizerische Recht ist sie indessen bereits deshalb abzulehnen, weil der Begriff der Miturheberschaft zwingend aus der eigenen schöpferischen Leistung an einem Kollektivwerk und nicht aus dem derivativen Übergang eines Urheberrechts auf mehrere Rechtsnachfolger des originär Berechtigten folgt. Sie wird denn auch in der schweizerischen Literatur abgelehnt (vgl. BARRELET/EGLOFF, a.a.O., N. 13 zu Art. 16 URG ; MARBACH, Rechtsgemeinschaft an Immaterialgüterrechten, S. 183). Aus Art. 7 Abs. 3 URG kann die Klägerin ihre Aktivlegitimation demnach nicht herleiten.</w:t>
      </w:r>
    </w:p>
    <w:p>
      <w:r>
        <w:rPr>
          <w:b/>
        </w:rPr>
        <w:t>E. 3</w:t>
      </w:r>
    </w:p>
    <w:p>
      <w:r>
        <w:t>In der privatrechtlichen Auseinandersetzung ist die Sachlegitimation nicht Prozessvoraussetzung, sondern Bedingung der materiellen Begründetheit der Rechtsbehauptung, mithin eine Frage des Bundesrechts in den von ihm beherrschten Rechtsbeziehungen ( BGE 114 II 345 E. 3a S. 346). Nach dem Gesetz aber werden mehrere Erben Gesamteigentümer der Erbschaftsgegenstände und verfügen unter Vorbehalt der vertraglichen oder gesetzlichen Vertretungs- und Verwaltungsbefugnisse gemeinsam über die Rechte der Erbschaft ( Art. 602 Abs. 2 ZGB ). Aus diesem erbrechtlichen Gesamthandsprinzip ergibt sich, dass die Mitglieder einer Erbengemeinschaft in der Rechtsverfolgung nur gemeinsam zur Prozessführung befugt sind. Das Bundesgericht hat in diesem Sinne am Erfordernis der Willensübereinstimmung aller Erben in zivilrechtlichen Auseinandersetzungen stets streng festgehalten ( BGE 100 II 440 E. 1, BGE 89 II 429 ff., BGE 54 II 110 E. 4 S. 112 und 197 E. 2, BGE 52 II 195 ff., BGE 51 II 267 E. 1). Das Erfordernis gemeinsamen Handelns bezweckt den Schutz der Gemeinschaft gegen schädliche Sonderaktionen einzelner Gemeinschafter (MEIER-HAYOZ, Berner Kommentar, N. 6 zu Art. 653 ZGB ). Unzulässig sind deshalb nebst den eigentlichen Verfügungen über das Recht all jene Rechtshandlungen, welche die Gefahr einer Benachteiligung der Gemeinschaft oder ihrer Mitglieder mit sich bringen können. Im Gegensatz zum deutschen Recht (vgl. § 2039 BGB) ist ein Erbe sodann nach herrschender schweizerischer Lehre und bundesgerichtlicher Rechtsprechung auch nicht ohne weiteres befugt, auf eigene Gefahr für die Erbengemeinschaft tätig zu werden (PIOTET, Schweiz. Privatrecht, Bd. IV/2, S. 667 mit Hinweisen; a.A. JOST, Die Aktivlegitimation des Miterben zu erbrechtlichen Klagen, SJZ 46/1950, S. 149 ff.). Selbständiges BGE 121 III 118 S. 122 zivilprozessuales Vorgehen einzelner Miterben auf der Aktivseite - für die Passivseite gilt anderes aufgrund der Solidarhaft nach Art. 603 Abs. 1 ZGB - hat das Bundesgericht vielmehr bloss in Ausnahmefällen zugelassen, etwa bei zeitlicher Dringlichkeit ( BGE 93 II 11 E. 2b S. 14 f.) sowie bei unmittelbarem oder mittelbarem Einbezug aller Erben in das Verfahren ( BGE 109 II 400 E. 2 S. 403), daneben aufgrund des Zweckgedankens des Gesamthandsprinzips auch für die Verfolgung blosser Informationsansprüche über Erbschaftsaktiven, die keine Benachteiligung der Miterben zur Folge haben können ( BGE 82 II 555 E. 7 S. 566). Ein Ausnahmefall in der einen oder andern Richtung ist indessen in der vorliegenden Streitsache weder ersichtlich noch dargetan. Insbesondere reicht die von der Klägerin behauptete Zustimmung zweier - von drei - Miterben zu ihrem Vorgehen für die Annahme einer mittelbaren Beteiligung aller Mitglieder der Erbengemeinschaft am Verfahren nicht aus. Dass sodann in verwaltungsgerichtlichen Verfahren dem einzelnen Miterben eine weitergehende Handlungsmacht zukommen kann, beruht auf den dortigen besonderen Legitimationsvoraussetzungen, die sich nicht unbesehen auf die zivilrechtliche Auseinandersetzung übertragen lassen (vgl. dazu BGE 119 Ib 56 E. 1a, BGE 99 V 58 ff.). Weiter ist zu beachten, dass der eingeklagte Unterlassungsanspruch im wesentlichen vertraglicher Natur ist und bei seiner Beurteilung unter anderem der Generalvertrag vom 17. Dezember 1986 und der Zusatzvertrag vom 17. Januar 1991 eine Rolle spielen. Der im Vordergrund stehende Zusatzvertrag wurde jedoch erst nach dem Tode von Friedrich Dürrenmatt, das heisst mit dessen Erben als materiellen Vertragsparteien abgeschlossen. Ist aber die Klägerin nach dem Gesagten kraft ihrer Erbenstellung selbst an einem ausservertraglichen Unterlassungsanspruch nicht allein aktivlegitimiert, so gilt das in noch stärkerem Masse für die Durchsetzung von Ansprüchen aus vertraglicher Rechtsgemeinschaft. Insoweit kann somit dem Obergericht ebenfalls keine Bundesrechtsverletzung vorgeworfen werden.</w:t>
      </w:r>
    </w:p>
    <w:p>
      <w:r>
        <w:rPr>
          <w:b/>
        </w:rPr>
        <w:t>E. 4</w:t>
      </w:r>
    </w:p>
    <w:p>
      <w:r>
        <w:t>Damit stellt sich allein noch die Frage, ob die Klägerin ihre Aktivlegitimation aus dem Erbteilungsvertrag vom 18. Oktober 1991 herzuleiten vermag. a) Das Obergericht ist der Auffassung, der Klägerin sei im Erbteilungsvertrag bloss die Stellung einer Erbenvertreterin eingeräumt worden. Es schliesst dies aus dem Umstand, dass für den Fall ihres Todes die Ernennung eines neuen Erbenvertreters vorgesehen wurde, und dem ihr in Ziff. 20 des Erbteilungsvertrags erteilten Auftrag mit Vollmacht, die BGE 121 III 118 S. 123 verbleibenden vertraglichen Ansprüche gegenüber der Beklagten wahrzunehmen. Könnte auf dieses Auslegungsergebnis abgestellt werden, was im folgenden zu prüfen ist, so wäre die Schlussfolgerung des Obergerichts, dass der Klägerin die Aktivlegitimation fehlt, nicht zu beanstanden. Der gewillkürte Erbenvertreter ist nicht befugt, in eigenem Namen zu handeln. Er kann vielmehr nur im Namen sämtlicher Erben handeln, deren materielle Rechtszuständigkeit durch das Vertretungsverhältnis nicht berührt wird. b) Das Obergericht legt den Erbteilungsvertrag ausgehend von dessen Wortlaut normativ aus und schliesst auf ein blosses Vertretungsverhältnis, welches der Klägerin keine Aktivlegitimation verschaffe. Die Klägerin beruft sich demgegenüber auf einen abweichenden tatsächlichen Parteiwillen und wirft der Vorinstanz eine Verletzung von Art. 8 ZGB , ein offensichtliches Versehen, eine bundesrechtswidrige Anwendung von Art. 18 OR und allenfalls eine unrichtige normative Vertragsauslegung vor. Im Ergebnis beansprucht sie eine - offenbar fiduziarische - Übertragung der hier streitigen Rechte von den Erben an sich auf Lebenszeit. aa)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119 II 368 E. 4b S. 372 f., BGE 118 II 365 ff.). Der Vorrang der empirischen oder subjektiven vor der normativen oder objektivierten Vertragsauslegung, ergibt sich aus Art. 18 OR als Auslegungsregel. Die Verletzung dieses Grundsatzes kann deshalb mit der Berufung gerügt werden (vgl. KRAMER, Berner Kommentar, N. 76 zu Art. 18 OR ). Die Behauptungs- und Beweislast für Bestand und Inhalt eines vom normativen Auslegungsergebnis abweichenden subjektiven Vertragswillens trägt jene Partei, welche aus diesem Willen zu ihren Gunsten eine Rechtsfolge ableitet (JÄGGI/GAUCH, Zürcher Kommentar, N. 33 und 42 zu Art. 18 OR ). Die Klägerin BGE 121 III 118 S. 124 weist nach, sich in ihrer Replikschrift vor Obergericht darauf berufen zu haben, dass ihr die streitigen Rechte nach dem subjektiven Willen der Parteien des Erbteilungsvertrags zu eigenständiger Wahrnehmung übertragen worden seien. Das Obergericht setzt sich in seinem Urteil mit dieser Behauptung nicht auseinander. Es legt insbesondere nicht dar, weshalb es dazu keinen Beweis abgenommen hat. Dem Bundesgericht ist es indessen im Berufungsverfahren verwehrt zu prüfen, ob die übergangene Behauptung im kantonalen Verfahren prozesskonform vorgebracht und mit tauglichen Beweisanerbieten unterstützt wurde. Damit ist es ihm auch nicht möglich zu beurteilen, ob die bundesrechtliche Auslegungsregel von Art. 18 OR richtig angewendet worden ist. Sollten prozesskonforme Vorbringen vorgelegen haben, so hätte sich das Obergericht mit der Sachbehauptung der Klägerin auseinandersetzen müssen und sich nicht darauf beschränken dürfen, einfach auf die subsidiäre normative Vertragsauslegung abzustellen. bb) Daran ändert der Umstand nichts, dass der Erbteilungsvertrag gemäss Art. 634 Abs. 2 ZGB zur Gültigkeit der schriftlichen Form bedarf. Die in Art. 18 Abs. 1 OR verankerte Auslegung nach dem Willensprinzip gilt uneingeschränkt auch für formbedürftige Verträge. Auch bei ihnen ist der Wille der Parteien ohne Begrenzung durch den Vertragswortlaut zu erforschen und erst danach die Frage zu stellen, ob das Rechtsgeschäft den gesetzlichen Formvorschriften entspricht (KRAMER, Berner Kommentar, N. 59 zu Art. 18 OR ; JÄGGI/GAUCH, Zürcher Kommentar, N. 477 zu Art. 18 OR ). Die Form bestimmt nicht die Auslegung, sondern die Gültigkeit des Rechtsgeschäfts. Eine Ungültigkeit ist erst dann gegeben, wenn der Geschäftswille nicht formgenüglich verurkundet ist und nicht bereits dann, wenn das subjektive Vertragsverständnis der Parteien nicht mit dem objektiven Wortsinn ihrer Erklärungen übereinstimmt. Auf dieser Grundlage aber ist im vorliegenden Fall ohne weiteres davon auszugehen, dass auch der von der Klägerin behauptete subjektive Wille der Vertragsparteien formgenüglich erklärt worden wäre. cc) Die Berufung ist demnach insoweit begründet, als darin geltend gemacht wird, das Obergericht hätte zum behaupteten tatsächlichen Parteiwillen Feststellungen treffen müssen. In dieser Hinsicht ist der rechtserhebliche Sachverhalt im Sinne von Art. 64 Abs. 1 OG ergänzungsbedürftig. Der angefochtene Entscheid ist deshalb aufzuheben und die Streitsache an die Vorinstanz zurückzuweisen, die sich zum behaupteten tatsächlichen Parteiwillen zu äussern hat. BGE 121 III 118 S. 125 c) Für den Fall, dass die Klägerin ihre Behauptung hinsichtlich des subjektiven Parteiwillens nicht beweisen könnte, ist der Vollständigkeit halber bereits in diesem Verfahren festzuhalten, dass die normative Auslegung des Obergerichts, wonach sich aus den massgebenden Bestimmungen des Erbteilungsvertrags die Vereinbarung eines blossen Vertretungsverhältnisses ergebe, Bundesrecht nicht verletzt. Insoweit kann auf die zutreffenden Erwägungen der Vorinstanz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